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color w:val="000000"/>
          <w:sz w:val="4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color w:val="000000"/>
          <w:sz w:val="45"/>
        </w:rPr>
        <w:t>关于开展消防安全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46"/>
        </w:rPr>
        <w:t>大排查大整治行动的</w:t>
      </w:r>
    </w:p>
    <w:p w14:paraId="3A1B5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6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46"/>
          <w:lang w:eastAsia="zh-CN"/>
        </w:rPr>
        <w:t>工作提示</w:t>
      </w:r>
    </w:p>
    <w:p w14:paraId="41D72FC2">
      <w:pPr>
        <w:autoSpaceDE w:val="0"/>
        <w:autoSpaceDN w:val="0"/>
        <w:spacing w:before="0" w:after="0" w:line="427" w:lineRule="exact"/>
        <w:ind w:firstLine="0"/>
        <w:jc w:val="both"/>
        <w:rPr>
          <w:rFonts w:hint="eastAsia" w:asciiTheme="majorEastAsia" w:hAnsiTheme="majorEastAsia" w:eastAsiaTheme="majorEastAsia" w:cstheme="majorEastAsia"/>
          <w:color w:val="000000"/>
          <w:sz w:val="33"/>
        </w:rPr>
      </w:pPr>
    </w:p>
    <w:p w14:paraId="7AF30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40" w:firstLine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各设区市和平潭综合实验区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印刷发行主管部门，省印刷协会、出版物发行业协会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</w:p>
    <w:p w14:paraId="74829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40" w:firstLine="6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为深刻汲取泉州晋江市辉腾鞋业厂房“7·9”火灾事故惨痛教训，贯彻落实中央领导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批示要求，切实筑牢全省消防安全防线，坚决防范和遏制各类重特大火灾事故发生，全面排查整治各行业领域消防安全隐患问题，压紧压实各方消防安全责任，保障人民群众生命财产安全和社会大局稳定，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即日起至年底，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省消防安全委员会在全省范围内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部署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开展消防安全大排查大整治行动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，请各地各行业协会高度重视，立即行动，组织开展好自查排查整治活动。</w:t>
      </w:r>
    </w:p>
    <w:p w14:paraId="0946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40" w:firstLine="64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color w:val="000000"/>
          <w:sz w:val="30"/>
          <w:szCs w:val="30"/>
          <w:lang w:eastAsia="zh-CN"/>
        </w:rPr>
        <w:t>一要</w:t>
      </w:r>
      <w:r>
        <w:rPr>
          <w:rFonts w:hint="eastAsia" w:ascii="楷体_GB2312" w:hAnsi="楷体_GB2312" w:eastAsia="楷体_GB2312" w:cs="楷体_GB2312"/>
          <w:b/>
          <w:color w:val="000000"/>
          <w:sz w:val="30"/>
          <w:szCs w:val="30"/>
        </w:rPr>
        <w:t>深入开展劳动密集型企业消防安全专项治理。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严格落实“三管三必须”要求，按照“谁主管谁负责”的原则，围绕场所消防设施缺失、堵塞生命通道、未落实防火分隔等突出问题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组织开展本行业、本系统单位消防安全排查整治。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严查生产加工车间、经营储存场所等违规分层分块转租、多家企业混业经营消防安全责任不清、住宿与生产存储经营“三合一”混用问题；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严查车间、楼道、安全出口、疏散通道堆放原材料、成品半成品、杂物堵塞占用问题，严查违规设置防盗网、防盗窗以及消防车通道占用问题；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严查违规使用易燃可燃材料搭建隔断、临时储物夹层问题；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四是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严查厂房消防设施应设未设、配备不足、过期失效、损坏停用，自动报警、喷淋系统瘫痪无法正常运行问题；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五是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严查企业业主、出租方和承租方未落实相应消防安全主体责任，消防安全管理制度不健全、员工未开展消防培训、不会操作消防器材、无应急预案、未开展演练问题；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六是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严查违规动火作业、违规使用大功率电器、私拉乱接电气线路等用火用电用气违规行为；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七是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严查未依法办理消防设计审查、消防验收或备案抽查，擅自投入使用的建筑。</w:t>
      </w:r>
    </w:p>
    <w:p w14:paraId="18F28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color w:val="000000"/>
          <w:sz w:val="30"/>
          <w:szCs w:val="30"/>
          <w:lang w:eastAsia="zh-CN"/>
        </w:rPr>
        <w:t>二要</w:t>
      </w:r>
      <w:r>
        <w:rPr>
          <w:rFonts w:hint="eastAsia" w:ascii="楷体_GB2312" w:hAnsi="楷体_GB2312" w:eastAsia="楷体_GB2312" w:cs="楷体_GB2312"/>
          <w:b/>
          <w:color w:val="000000"/>
          <w:sz w:val="30"/>
          <w:szCs w:val="30"/>
        </w:rPr>
        <w:t>聚焦重点区域和突出消防安全问题落实排查整治。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重点排查违规使用易燃可燃材料装修装饰、占堵生命通道等突出问题；紧盯经营性自建房、家庭作坊、“多合一”等“小场所”，重点排查违章搭建、违规住人、违规用火用电用气等危险行为；紧盯城中村、城乡接合部、连片村寨等“旧区域”，重点排查占堵消防车道、消防水源不足、安全意识不强等突出问题；紧盯“厂中厂”“园中园”等多业态混合经营场所，重点排查管理责任不明晰、防火分隔不到位、疏散通道不畅通等突出问题。</w:t>
      </w:r>
    </w:p>
    <w:p w14:paraId="13B99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color w:val="000000"/>
          <w:sz w:val="30"/>
          <w:szCs w:val="30"/>
          <w:lang w:eastAsia="zh-CN"/>
        </w:rPr>
        <w:t>三要</w:t>
      </w:r>
      <w:r>
        <w:rPr>
          <w:rFonts w:hint="eastAsia" w:ascii="楷体_GB2312" w:hAnsi="楷体_GB2312" w:eastAsia="楷体_GB2312" w:cs="楷体_GB2312"/>
          <w:b/>
          <w:color w:val="000000"/>
          <w:sz w:val="30"/>
          <w:szCs w:val="30"/>
        </w:rPr>
        <w:t>落实个性化隐患治理和消防宣传培训行动。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各地要结合当地火灾特点和产业结构特点，找准最不放心的对象、最薄弱的环节和最突出的问题，如木结构老旧民房等易造成“小火亡人”的场所，城乡接合部、城中村中聚集的中低端工业企业园、工业聚集点等消防安全极不托底的区域，开展针对性的个性化隐患治理。要持续深化消防宣传“五进”工作，指导单位落实消防安全“三提示”和员工“一懂三会”，发动行业部门组织全行业开展全员消防疏散演练，加强典型火灾案例警示、普及消防安全常识，不断提升全民消防安全意识和素养。</w:t>
      </w:r>
    </w:p>
    <w:p w14:paraId="39FF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请及时将本通知精神传达到本地区、本行业所属单位并立即开展自查检查，自查排查整治情况（见附件）请于每月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22日前报送省委宣传部印刷发行处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。</w:t>
      </w:r>
    </w:p>
    <w:p w14:paraId="07F0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</w:p>
    <w:p w14:paraId="7F03B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</w:p>
    <w:p w14:paraId="119FE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</w:p>
    <w:p w14:paraId="4A60D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</w:p>
    <w:p w14:paraId="6C6F1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br w:type="page"/>
      </w:r>
    </w:p>
    <w:p w14:paraId="4DFD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</w:p>
    <w:p w14:paraId="00FC5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附件：</w:t>
      </w:r>
    </w:p>
    <w:p w14:paraId="15866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</w:p>
    <w:tbl>
      <w:tblPr>
        <w:tblStyle w:val="2"/>
        <w:tblW w:w="8845" w:type="dxa"/>
        <w:tblInd w:w="1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969"/>
        <w:gridCol w:w="954"/>
        <w:gridCol w:w="819"/>
        <w:gridCol w:w="1035"/>
        <w:gridCol w:w="1286"/>
        <w:gridCol w:w="1152"/>
        <w:gridCol w:w="1486"/>
      </w:tblGrid>
      <w:tr w14:paraId="6AA9DD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8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7B86C">
            <w:pPr>
              <w:autoSpaceDE w:val="0"/>
              <w:autoSpaceDN w:val="0"/>
              <w:spacing w:before="100" w:after="0" w:line="324" w:lineRule="exact"/>
              <w:jc w:val="both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5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color w:val="000000"/>
                <w:sz w:val="25"/>
              </w:rPr>
              <w:t>消防安全大排查大整治统计表</w:t>
            </w:r>
          </w:p>
        </w:tc>
      </w:tr>
      <w:tr w14:paraId="099482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C05A42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黑体" w:hAnsi="黑体" w:eastAsia="黑体" w:cs="黑体"/>
                <w:color w:val="000000"/>
                <w:sz w:val="15"/>
              </w:rPr>
            </w:pPr>
          </w:p>
          <w:p w14:paraId="7AEA93C2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黑体" w:hAnsi="黑体" w:eastAsia="黑体" w:cs="黑体"/>
                <w:color w:val="000000"/>
                <w:sz w:val="15"/>
              </w:rPr>
            </w:pPr>
          </w:p>
          <w:p w14:paraId="433EDE03">
            <w:pPr>
              <w:autoSpaceDE w:val="0"/>
              <w:autoSpaceDN w:val="0"/>
              <w:spacing w:before="30" w:after="0" w:line="194" w:lineRule="exact"/>
              <w:ind w:firstLine="180"/>
              <w:jc w:val="both"/>
              <w:rPr>
                <w:rFonts w:hint="eastAsia" w:ascii="黑体" w:hAnsi="黑体" w:eastAsia="黑体" w:cs="黑体"/>
                <w:sz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</w:rPr>
              <w:t>XX部门／地区</w:t>
            </w:r>
          </w:p>
        </w:tc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1BB03A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黑体" w:hAnsi="黑体" w:eastAsia="黑体" w:cs="黑体"/>
                <w:color w:val="000000"/>
                <w:sz w:val="15"/>
              </w:rPr>
            </w:pPr>
          </w:p>
          <w:p w14:paraId="4ACD2854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黑体" w:hAnsi="黑体" w:eastAsia="黑体" w:cs="黑体"/>
                <w:color w:val="000000"/>
                <w:sz w:val="15"/>
              </w:rPr>
            </w:pPr>
          </w:p>
          <w:p w14:paraId="39F0659C">
            <w:pPr>
              <w:autoSpaceDE w:val="0"/>
              <w:autoSpaceDN w:val="0"/>
              <w:spacing w:before="30" w:after="0" w:line="194" w:lineRule="exact"/>
              <w:jc w:val="center"/>
              <w:rPr>
                <w:rFonts w:hint="eastAsia" w:ascii="黑体" w:hAnsi="黑体" w:eastAsia="黑体" w:cs="黑体"/>
                <w:sz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</w:rPr>
              <w:t>排查数量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71A845">
            <w:pPr>
              <w:autoSpaceDE w:val="0"/>
              <w:autoSpaceDN w:val="0"/>
              <w:spacing w:before="180" w:after="0" w:line="194" w:lineRule="exact"/>
              <w:ind w:firstLine="600"/>
              <w:jc w:val="both"/>
              <w:rPr>
                <w:rFonts w:hint="eastAsia" w:ascii="黑体" w:hAnsi="黑体" w:eastAsia="黑体" w:cs="黑体"/>
                <w:sz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</w:rPr>
              <w:t>发现隐患情况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DF705D">
            <w:pPr>
              <w:autoSpaceDE w:val="0"/>
              <w:autoSpaceDN w:val="0"/>
              <w:spacing w:before="180" w:after="0" w:line="194" w:lineRule="exact"/>
              <w:jc w:val="center"/>
              <w:rPr>
                <w:rFonts w:hint="eastAsia" w:ascii="黑体" w:hAnsi="黑体" w:eastAsia="黑体" w:cs="黑体"/>
                <w:sz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</w:rPr>
              <w:t>隐患整改情况</w:t>
            </w:r>
          </w:p>
        </w:tc>
        <w:tc>
          <w:tcPr>
            <w:tcW w:w="2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AB9B29">
            <w:pPr>
              <w:autoSpaceDE w:val="0"/>
              <w:autoSpaceDN w:val="0"/>
              <w:spacing w:before="140" w:after="0" w:line="194" w:lineRule="exact"/>
              <w:jc w:val="center"/>
              <w:rPr>
                <w:rFonts w:hint="eastAsia" w:ascii="黑体" w:hAnsi="黑体" w:eastAsia="黑体" w:cs="黑体"/>
                <w:sz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</w:rPr>
              <w:t>采取措施情况</w:t>
            </w:r>
          </w:p>
        </w:tc>
      </w:tr>
      <w:tr w14:paraId="391DE6F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E61EF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DAB13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38ECD0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黑体" w:hAnsi="黑体" w:eastAsia="黑体" w:cs="黑体"/>
                <w:color w:val="000000"/>
                <w:sz w:val="15"/>
              </w:rPr>
            </w:pPr>
          </w:p>
          <w:p w14:paraId="7B024844">
            <w:pPr>
              <w:autoSpaceDE w:val="0"/>
              <w:autoSpaceDN w:val="0"/>
              <w:spacing w:before="5" w:after="0" w:line="194" w:lineRule="exact"/>
              <w:ind w:firstLine="120"/>
              <w:jc w:val="both"/>
              <w:rPr>
                <w:rFonts w:hint="eastAsia" w:ascii="黑体" w:hAnsi="黑体" w:eastAsia="黑体" w:cs="黑体"/>
                <w:sz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</w:rPr>
              <w:t>问题隐患数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D8A727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黑体" w:hAnsi="黑体" w:eastAsia="黑体" w:cs="黑体"/>
                <w:color w:val="000000"/>
                <w:sz w:val="15"/>
              </w:rPr>
            </w:pPr>
          </w:p>
          <w:p w14:paraId="4848EA0D">
            <w:pPr>
              <w:autoSpaceDE w:val="0"/>
              <w:autoSpaceDN w:val="0"/>
              <w:spacing w:before="5" w:after="0" w:line="194" w:lineRule="exact"/>
              <w:jc w:val="center"/>
              <w:rPr>
                <w:rFonts w:hint="eastAsia" w:ascii="黑体" w:hAnsi="黑体" w:eastAsia="黑体" w:cs="黑体"/>
                <w:sz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</w:rPr>
              <w:t>重大隐患数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20E8C4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黑体" w:hAnsi="黑体" w:eastAsia="黑体" w:cs="黑体"/>
                <w:color w:val="000000"/>
                <w:sz w:val="15"/>
              </w:rPr>
            </w:pPr>
          </w:p>
          <w:p w14:paraId="1742010D">
            <w:pPr>
              <w:autoSpaceDE w:val="0"/>
              <w:autoSpaceDN w:val="0"/>
              <w:spacing w:before="5" w:after="0" w:line="194" w:lineRule="exact"/>
              <w:jc w:val="center"/>
              <w:rPr>
                <w:rFonts w:hint="eastAsia" w:ascii="黑体" w:hAnsi="黑体" w:eastAsia="黑体" w:cs="黑体"/>
                <w:sz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</w:rPr>
              <w:t>整改隐患数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44892">
            <w:pPr>
              <w:autoSpaceDE w:val="0"/>
              <w:autoSpaceDN w:val="0"/>
              <w:spacing w:before="0" w:after="0" w:line="181" w:lineRule="exact"/>
              <w:ind w:firstLine="0"/>
              <w:jc w:val="both"/>
              <w:rPr>
                <w:rFonts w:hint="eastAsia" w:ascii="黑体" w:hAnsi="黑体" w:eastAsia="黑体" w:cs="黑体"/>
                <w:color w:val="000000"/>
                <w:sz w:val="14"/>
              </w:rPr>
            </w:pPr>
          </w:p>
          <w:p w14:paraId="60B97FD2">
            <w:pPr>
              <w:autoSpaceDE w:val="0"/>
              <w:autoSpaceDN w:val="0"/>
              <w:spacing w:before="18" w:after="0" w:line="181" w:lineRule="exact"/>
              <w:jc w:val="center"/>
              <w:rPr>
                <w:rFonts w:hint="eastAsia" w:ascii="黑体" w:hAnsi="黑体" w:eastAsia="黑体" w:cs="黑体"/>
                <w:sz w:val="14"/>
              </w:rPr>
            </w:pPr>
            <w:r>
              <w:rPr>
                <w:rFonts w:hint="eastAsia" w:ascii="黑体" w:hAnsi="黑体" w:eastAsia="黑体" w:cs="黑体"/>
                <w:color w:val="000000"/>
                <w:sz w:val="14"/>
              </w:rPr>
              <w:t>其中重大隐患整改数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12864A">
            <w:pPr>
              <w:autoSpaceDE w:val="0"/>
              <w:autoSpaceDN w:val="0"/>
              <w:spacing w:before="180" w:after="0" w:line="194" w:lineRule="exact"/>
              <w:jc w:val="center"/>
              <w:rPr>
                <w:rFonts w:hint="eastAsia" w:ascii="黑体" w:hAnsi="黑体" w:eastAsia="黑体" w:cs="黑体"/>
                <w:sz w:val="15"/>
              </w:rPr>
            </w:pPr>
            <w:r>
              <w:rPr>
                <w:rFonts w:hint="eastAsia" w:ascii="黑体" w:hAnsi="黑体" w:eastAsia="黑体" w:cs="黑体"/>
                <w:color w:val="000000"/>
                <w:sz w:val="15"/>
              </w:rPr>
              <w:t>督导检查单位数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5D96C3">
            <w:pPr>
              <w:autoSpaceDE w:val="0"/>
              <w:autoSpaceDN w:val="0"/>
              <w:spacing w:before="100" w:after="0" w:line="155" w:lineRule="exact"/>
              <w:jc w:val="center"/>
              <w:rPr>
                <w:rFonts w:hint="eastAsia" w:ascii="黑体" w:hAnsi="黑体" w:eastAsia="黑体" w:cs="黑体"/>
                <w:sz w:val="12"/>
              </w:rPr>
            </w:pPr>
            <w:r>
              <w:rPr>
                <w:rFonts w:hint="eastAsia" w:ascii="黑体" w:hAnsi="黑体" w:eastAsia="黑体" w:cs="黑体"/>
                <w:color w:val="000000"/>
                <w:sz w:val="12"/>
              </w:rPr>
              <w:t>通报、约谈、警示、提醒单位／个人数</w:t>
            </w:r>
          </w:p>
        </w:tc>
      </w:tr>
      <w:tr w14:paraId="6747FA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C7DD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6A20E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9F24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68426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270D8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E983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94C9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F88A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5ADD216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7CF029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</w:rPr>
            </w:pPr>
          </w:p>
          <w:p w14:paraId="1B232520">
            <w:pPr>
              <w:autoSpaceDE w:val="0"/>
              <w:autoSpaceDN w:val="0"/>
              <w:spacing w:before="25" w:after="0" w:line="194" w:lineRule="exact"/>
              <w:ind w:firstLine="40"/>
              <w:jc w:val="both"/>
              <w:rPr>
                <w:sz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</w:rPr>
              <w:t>填报单位（盖章）：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4CB9DF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</w:rPr>
            </w:pPr>
          </w:p>
          <w:p w14:paraId="4079676A">
            <w:pPr>
              <w:autoSpaceDE w:val="0"/>
              <w:autoSpaceDN w:val="0"/>
              <w:spacing w:before="25" w:after="0" w:line="194" w:lineRule="exact"/>
              <w:jc w:val="both"/>
              <w:rPr>
                <w:sz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</w:rPr>
              <w:t>填报时间：</w:t>
            </w: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C553CE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</w:rPr>
            </w:pPr>
          </w:p>
          <w:p w14:paraId="45E09F27">
            <w:pPr>
              <w:autoSpaceDE w:val="0"/>
              <w:autoSpaceDN w:val="0"/>
              <w:spacing w:before="25" w:after="0" w:line="194" w:lineRule="exact"/>
              <w:jc w:val="center"/>
              <w:rPr>
                <w:sz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15"/>
              </w:rPr>
              <w:t>月</w:t>
            </w:r>
            <w:r>
              <w:rPr>
                <w:rFonts w:hint="eastAsia" w:ascii="Calibri" w:hAnsi="Calibri" w:eastAsia="Calibri"/>
                <w:color w:val="000000"/>
                <w:sz w:val="15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15"/>
              </w:rPr>
              <w:t>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833CF9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</w:rPr>
            </w:pPr>
          </w:p>
          <w:p w14:paraId="1EC8F9B2">
            <w:pPr>
              <w:autoSpaceDE w:val="0"/>
              <w:autoSpaceDN w:val="0"/>
              <w:spacing w:before="25" w:after="0" w:line="194" w:lineRule="exact"/>
              <w:jc w:val="both"/>
              <w:rPr>
                <w:sz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</w:rPr>
              <w:t>填报人：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C341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2B5791">
            <w:pPr>
              <w:autoSpaceDE w:val="0"/>
              <w:autoSpaceDN w:val="0"/>
              <w:spacing w:before="0" w:after="0" w:line="194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15"/>
              </w:rPr>
            </w:pPr>
          </w:p>
          <w:p w14:paraId="0AF8D037">
            <w:pPr>
              <w:autoSpaceDE w:val="0"/>
              <w:autoSpaceDN w:val="0"/>
              <w:spacing w:before="25" w:after="0" w:line="194" w:lineRule="exact"/>
              <w:ind w:firstLine="40"/>
              <w:jc w:val="both"/>
              <w:rPr>
                <w:sz w:val="15"/>
              </w:rPr>
            </w:pPr>
            <w:r>
              <w:rPr>
                <w:rFonts w:hint="eastAsia" w:ascii="宋体" w:hAnsi="宋体" w:eastAsia="宋体"/>
                <w:color w:val="000000"/>
                <w:sz w:val="15"/>
              </w:rPr>
              <w:t>联系电话：</w:t>
            </w:r>
          </w:p>
        </w:tc>
      </w:tr>
    </w:tbl>
    <w:p w14:paraId="10420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20" w:firstLine="7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</w:pPr>
    </w:p>
    <w:p w14:paraId="39F2F591">
      <w:pPr>
        <w:autoSpaceDE w:val="0"/>
        <w:autoSpaceDN w:val="0"/>
        <w:spacing w:before="0" w:after="0" w:line="200" w:lineRule="exact"/>
        <w:ind w:firstLine="200"/>
        <w:jc w:val="both"/>
        <w:rPr>
          <w:rFonts w:hint="eastAsia" w:ascii="宋体" w:hAnsi="宋体" w:eastAsia="宋体"/>
          <w:color w:val="000000"/>
          <w:sz w:val="15"/>
        </w:rPr>
      </w:pPr>
    </w:p>
    <w:p w14:paraId="52A6D707">
      <w:pPr>
        <w:autoSpaceDE w:val="0"/>
        <w:autoSpaceDN w:val="0"/>
        <w:spacing w:before="0" w:after="0" w:line="200" w:lineRule="exact"/>
        <w:ind w:firstLine="200"/>
        <w:jc w:val="both"/>
        <w:rPr>
          <w:rFonts w:hint="eastAsia" w:ascii="宋体" w:hAnsi="宋体" w:eastAsia="宋体"/>
          <w:color w:val="000000"/>
          <w:sz w:val="15"/>
        </w:rPr>
      </w:pPr>
    </w:p>
    <w:p w14:paraId="3A1B523F"/>
    <w:bookmarkEnd w:id="0"/>
    <w:sectPr>
      <w:footerReference r:id="rId3" w:type="default"/>
      <w:pgSz w:w="11906" w:h="16838"/>
      <w:pgMar w:top="158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FADD1">
    <w:pPr>
      <w:autoSpaceDE w:val="0"/>
      <w:autoSpaceDN w:val="0"/>
      <w:spacing w:before="0" w:after="0" w:line="362" w:lineRule="exact"/>
      <w:ind w:right="20" w:firstLine="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BC758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BC758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30F30"/>
    <w:rsid w:val="069B45DF"/>
    <w:rsid w:val="0ED743B4"/>
    <w:rsid w:val="1BE84432"/>
    <w:rsid w:val="1CCE2AB8"/>
    <w:rsid w:val="27A30F30"/>
    <w:rsid w:val="5455760A"/>
    <w:rsid w:val="57C62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1359</Words>
  <Characters>1361</Characters>
  <Lines>0</Lines>
  <Paragraphs>0</Paragraphs>
  <TotalTime>1</TotalTime>
  <ScaleCrop>false</ScaleCrop>
  <LinksUpToDate>false</LinksUpToDate>
  <CharactersWithSpaces>1385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2026-07-17T01:12:00Z</dcterms:created>
  <dc:creator>Administrator</dc:creator>
  <cp:lastModifiedBy>耶子</cp:lastModifiedBy>
  <dcterms:modified xsi:type="dcterms:W3CDTF">2026-07-17T03:25:13Z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B66F11E86A7143BF811C329E96FE0C7B_13</vt:lpwstr>
  </property>
</Properties>
</file>